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75" w:rsidRDefault="00F32A75" w:rsidP="00F32A75">
      <w:pPr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  <w:t xml:space="preserve">         </w:t>
      </w:r>
      <w:r w:rsidR="00CF1524" w:rsidRPr="00CF1524"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  <w:t>НАЦИОНАЛЬНЫЙ КАЛЕНДАРЬ ПРИВИВОК</w:t>
      </w:r>
    </w:p>
    <w:p w:rsidR="004A6EA0" w:rsidRDefault="00F32A75" w:rsidP="00F32A75">
      <w:pPr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  <w:t xml:space="preserve">         </w:t>
      </w:r>
      <w:r w:rsidR="00CF1524" w:rsidRPr="00CF1524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Приказ Министерства здравоохранения </w:t>
      </w:r>
      <w:r w:rsidR="00CF1524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РФ от 21 марта 2014 г. №125</w:t>
      </w:r>
      <w:r w:rsidR="00CF1524" w:rsidRPr="00CF1524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</w:t>
      </w:r>
    </w:p>
    <w:p w:rsidR="00F32A75" w:rsidRPr="00F32A75" w:rsidRDefault="00F32A75" w:rsidP="00F32A75">
      <w:pPr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  <w:t xml:space="preserve"> </w:t>
      </w:r>
      <w:r w:rsidR="00CF1524" w:rsidRPr="00CF1524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«Об утверждении национального календаря профилактических прививок и календаря </w:t>
      </w:r>
      <w:r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   </w:t>
      </w:r>
      <w:r w:rsidR="004A6EA0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  </w:t>
      </w:r>
      <w:r w:rsidR="00CF1524" w:rsidRPr="00CF1524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профилактических прививок по эпидемическим показаниям</w:t>
      </w:r>
      <w:r w:rsidR="00CF1524"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r w:rsidR="00CF1524" w:rsidRPr="00CF1524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«</w:t>
      </w:r>
    </w:p>
    <w:p w:rsidR="00CF1524" w:rsidRPr="00F32A75" w:rsidRDefault="00CF1524" w:rsidP="00F32A75">
      <w:pPr>
        <w:spacing w:after="0" w:line="225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 xml:space="preserve"> </w:t>
      </w:r>
      <w:r w:rsidRPr="00CF1524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„Национальный календарь профилактических </w:t>
      </w:r>
      <w:proofErr w:type="gramStart"/>
      <w:r w:rsidRPr="00CF1524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прививок“</w:t>
      </w:r>
      <w:proofErr w:type="gramEnd"/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tbl>
      <w:tblPr>
        <w:tblW w:w="49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4624"/>
        <w:gridCol w:w="1821"/>
      </w:tblGrid>
      <w:tr w:rsidR="00CF1524" w:rsidRPr="00CF1524" w:rsidTr="00CF1524"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  <w:lang w:eastAsia="ru-RU"/>
              </w:rPr>
              <w:t> 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  <w:lang w:eastAsia="ru-RU"/>
              </w:rPr>
              <w:t>Возраст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  <w:lang w:eastAsia="ru-RU"/>
              </w:rPr>
              <w:t> 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  <w:lang w:eastAsia="ru-RU"/>
              </w:rPr>
              <w:t>Наименование прививки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Вакцины</w:t>
            </w:r>
          </w:p>
        </w:tc>
      </w:tr>
      <w:tr w:rsidR="00CF1524" w:rsidRPr="00CF1524" w:rsidTr="00CF1524"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Новорожденные (в первые 24 часа жизни)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 вакцинация против вирусного гепатита В¹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Энджерикс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В 0,5</w:t>
              </w:r>
            </w:hyperlink>
          </w:p>
        </w:tc>
      </w:tr>
      <w:tr w:rsidR="00CF1524" w:rsidRPr="00CF1524" w:rsidTr="00CF1524"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Новорожденные (3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-7дней)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Вакцинация против туберкулеза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БЦЖ-М </w:t>
            </w:r>
          </w:p>
        </w:tc>
      </w:tr>
      <w:tr w:rsidR="00CF1524" w:rsidRPr="00CF1524" w:rsidTr="00CF1524"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Дети 1 месяц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вакцинация против вирусного гепатита В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Энджерикс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В 0,5</w:t>
              </w:r>
            </w:hyperlink>
          </w:p>
        </w:tc>
      </w:tr>
      <w:tr w:rsidR="00CF1524" w:rsidRPr="00CF1524" w:rsidTr="00CF1524"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 2 месяца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 вакцинация против вирусного гепатита В (группы риска)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 вакцинация против пневмококковой инфекции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Энджерикс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В 0,5</w:t>
              </w:r>
            </w:hyperlink>
            <w:r w:rsidR="00CF1524" w:rsidRPr="00CF152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="00CF1524" w:rsidRPr="00CF152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Превенар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13</w:t>
              </w:r>
            </w:hyperlink>
          </w:p>
        </w:tc>
      </w:tr>
      <w:tr w:rsidR="00CF1524" w:rsidRPr="00CF1524" w:rsidTr="00CF1524">
        <w:trPr>
          <w:trHeight w:val="511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3 месяца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Первая вакцинация против </w:t>
            </w:r>
            <w:proofErr w:type="spellStart"/>
            <w:proofErr w:type="gramStart"/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дифтерии,коклюша</w:t>
            </w:r>
            <w:proofErr w:type="spellEnd"/>
            <w:proofErr w:type="gramEnd"/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столбняка </w:t>
            </w:r>
          </w:p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Первая вакцинация против полиомиелита 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8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Инфанрикс</w:t>
              </w:r>
              <w:proofErr w:type="spellEnd"/>
            </w:hyperlink>
            <w:r w:rsidR="00CF1524" w:rsidRPr="00CF1524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9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Полиорикс</w:t>
              </w:r>
              <w:proofErr w:type="spellEnd"/>
            </w:hyperlink>
          </w:p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0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Пентаксим</w:t>
              </w:r>
              <w:proofErr w:type="spellEnd"/>
            </w:hyperlink>
          </w:p>
        </w:tc>
      </w:tr>
      <w:tr w:rsidR="00CF1524" w:rsidRPr="00CF1524" w:rsidTr="00CF1524">
        <w:trPr>
          <w:trHeight w:val="5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 вакцинация против гемофильной инфекции (группы риска)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1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Акт-ХИБ</w:t>
              </w:r>
            </w:hyperlink>
            <w:r w:rsidR="00CF1524" w:rsidRPr="00CF1524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12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Хиберикс</w:t>
              </w:r>
              <w:proofErr w:type="spellEnd"/>
            </w:hyperlink>
          </w:p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3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Пентаксим</w:t>
              </w:r>
              <w:proofErr w:type="spellEnd"/>
            </w:hyperlink>
          </w:p>
        </w:tc>
      </w:tr>
      <w:tr w:rsidR="00CF1524" w:rsidRPr="00CF1524" w:rsidTr="00CF1524">
        <w:trPr>
          <w:trHeight w:val="643"/>
        </w:trPr>
        <w:tc>
          <w:tcPr>
            <w:tcW w:w="1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 месяца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вакцинация против дифтерии, коклюша, столбняка</w:t>
            </w:r>
          </w:p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вакцинация против полиомиелита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вакцинация против пневмококковой инфекции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4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Инфанрикс</w:t>
              </w:r>
              <w:proofErr w:type="spellEnd"/>
            </w:hyperlink>
            <w:r w:rsidR="00CF1524" w:rsidRPr="00CF1524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15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Полиорикс</w:t>
              </w:r>
              <w:proofErr w:type="spellEnd"/>
            </w:hyperlink>
          </w:p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6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Пентаксим</w:t>
              </w:r>
              <w:proofErr w:type="spellEnd"/>
            </w:hyperlink>
          </w:p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7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Превенар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13</w:t>
              </w:r>
            </w:hyperlink>
          </w:p>
        </w:tc>
      </w:tr>
      <w:tr w:rsidR="00CF1524" w:rsidRPr="00CF1524" w:rsidTr="00CF1524">
        <w:trPr>
          <w:trHeight w:val="8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вакцинация против гемофильной инфекции (группы риска)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8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Акт-ХИБ</w:t>
              </w:r>
            </w:hyperlink>
            <w:r w:rsidR="00CF1524" w:rsidRPr="00CF1524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19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Хиберикс</w:t>
              </w:r>
              <w:proofErr w:type="spellEnd"/>
            </w:hyperlink>
          </w:p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0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Пентаксим</w:t>
              </w:r>
              <w:proofErr w:type="spellEnd"/>
            </w:hyperlink>
          </w:p>
        </w:tc>
      </w:tr>
      <w:tr w:rsidR="00CF1524" w:rsidRPr="00CF1524" w:rsidTr="00CF1524">
        <w:trPr>
          <w:trHeight w:val="5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месяцев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 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Третья вакцинация против вирусного гепатита В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1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Энджерикс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В 0,5</w:t>
              </w:r>
            </w:hyperlink>
            <w:r w:rsidR="00CF1524"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</w:r>
            <w:hyperlink r:id="rId22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Инфанрикс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Гекса</w:t>
              </w:r>
              <w:proofErr w:type="spellEnd"/>
              <w:r w:rsidR="00CF1524" w:rsidRPr="00CF1524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</w:tr>
      <w:tr w:rsidR="00CF1524" w:rsidRPr="00CF1524" w:rsidTr="00CF1524">
        <w:trPr>
          <w:trHeight w:val="7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 вакцинация против дифтерии, коклюша, столбняка</w:t>
            </w:r>
          </w:p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 вакцинация против полиомиелита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3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Инфанрикс</w:t>
              </w:r>
              <w:proofErr w:type="spellEnd"/>
            </w:hyperlink>
            <w:r w:rsidR="00CF1524" w:rsidRPr="00CF1524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24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Полиорикс</w:t>
              </w:r>
              <w:proofErr w:type="spellEnd"/>
            </w:hyperlink>
          </w:p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5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Пентаксим</w:t>
              </w:r>
              <w:proofErr w:type="spellEnd"/>
            </w:hyperlink>
          </w:p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6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Инфанрикс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Гекса</w:t>
              </w:r>
              <w:proofErr w:type="spellEnd"/>
            </w:hyperlink>
          </w:p>
        </w:tc>
      </w:tr>
      <w:tr w:rsidR="00CF1524" w:rsidRPr="00CF1524" w:rsidTr="00CF152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 вакцинация против гемофильной инфекции (группа риска)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7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Акт-ХИБ</w:t>
              </w:r>
            </w:hyperlink>
            <w:r w:rsidR="00CF1524" w:rsidRPr="00CF1524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28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Хиберикс</w:t>
              </w:r>
              <w:proofErr w:type="spellEnd"/>
            </w:hyperlink>
          </w:p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9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Пентаксим</w:t>
              </w:r>
              <w:proofErr w:type="spellEnd"/>
            </w:hyperlink>
          </w:p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30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Инфанрикс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Гекса</w:t>
              </w:r>
              <w:proofErr w:type="spellEnd"/>
            </w:hyperlink>
          </w:p>
        </w:tc>
      </w:tr>
      <w:tr w:rsidR="00CF1524" w:rsidRPr="00CF1524" w:rsidTr="00CF1524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 месяцев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Четвёртая вакцинация против вирусного гепатита B (группы риска)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240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Энджерикс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В 0,5</w:t>
              </w:r>
            </w:hyperlink>
          </w:p>
        </w:tc>
      </w:tr>
      <w:tr w:rsidR="00CF1524" w:rsidRPr="00CF1524" w:rsidTr="00CF152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Вакцинация против кори, краснухи, эпидемического паротита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Приорикс</w:t>
              </w:r>
              <w:proofErr w:type="spellEnd"/>
            </w:hyperlink>
          </w:p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3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Коревая</w:t>
              </w:r>
            </w:hyperlink>
          </w:p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4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Краснуха</w:t>
              </w:r>
            </w:hyperlink>
          </w:p>
        </w:tc>
      </w:tr>
      <w:tr w:rsidR="00CF1524" w:rsidRPr="00CF1524" w:rsidTr="00CF15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Ревакцинация против пневмококковой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proofErr w:type="spellStart"/>
            <w:r w:rsidRPr="00CF15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fldChar w:fldCharType="begin"/>
            </w:r>
            <w:r w:rsidRPr="00CF15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instrText xml:space="preserve"> HYPERLINK "http://privivka.spb.ru/vaccination/89/" </w:instrText>
            </w:r>
            <w:r w:rsidRPr="00CF15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fldChar w:fldCharType="separate"/>
            </w:r>
            <w:r w:rsidRPr="00CF1524">
              <w:rPr>
                <w:rFonts w:ascii="Times New Roman" w:eastAsia="Times New Roman" w:hAnsi="Times New Roman" w:cs="Times New Roman"/>
                <w:color w:val="924E32"/>
                <w:sz w:val="20"/>
                <w:szCs w:val="20"/>
                <w:u w:val="single"/>
                <w:lang w:eastAsia="ru-RU"/>
              </w:rPr>
              <w:t>Превенар</w:t>
            </w:r>
            <w:proofErr w:type="spellEnd"/>
            <w:r w:rsidRPr="00CF1524">
              <w:rPr>
                <w:rFonts w:ascii="Times New Roman" w:eastAsia="Times New Roman" w:hAnsi="Times New Roman" w:cs="Times New Roman"/>
                <w:color w:val="924E32"/>
                <w:sz w:val="20"/>
                <w:szCs w:val="20"/>
                <w:u w:val="single"/>
                <w:lang w:eastAsia="ru-RU"/>
              </w:rPr>
              <w:t xml:space="preserve"> 13</w:t>
            </w:r>
            <w:r w:rsidRPr="00CF15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1524" w:rsidRPr="00CF1524" w:rsidTr="00CF1524">
        <w:trPr>
          <w:trHeight w:val="330"/>
        </w:trPr>
        <w:tc>
          <w:tcPr>
            <w:tcW w:w="1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месяцев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 ревакцинация против дифтерии, коклюша, столбняка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 ревакцинация против полиомиелита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35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Инфанрикс</w:t>
              </w:r>
              <w:proofErr w:type="spellEnd"/>
            </w:hyperlink>
            <w:r w:rsidR="00CF1524" w:rsidRPr="00CF1524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36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Полиорикс</w:t>
              </w:r>
              <w:proofErr w:type="spellEnd"/>
            </w:hyperlink>
          </w:p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Пентаксим</w:t>
              </w:r>
              <w:proofErr w:type="spellEnd"/>
            </w:hyperlink>
          </w:p>
        </w:tc>
      </w:tr>
      <w:tr w:rsidR="00CF1524" w:rsidRPr="00CF1524" w:rsidTr="00CF152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Ревакцинация против гемофильной инфекции (группы риска)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38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Акт-ХИБ</w:t>
              </w:r>
            </w:hyperlink>
            <w:r w:rsidR="00CF1524" w:rsidRPr="00CF1524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39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Хиберикс</w:t>
              </w:r>
              <w:proofErr w:type="spellEnd"/>
            </w:hyperlink>
          </w:p>
        </w:tc>
      </w:tr>
      <w:tr w:rsidR="00CF1524" w:rsidRPr="00CF1524" w:rsidTr="00CF1524">
        <w:trPr>
          <w:trHeight w:val="427"/>
        </w:trPr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месяцев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ревакцинация против полиомиелита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ОПВ</w:t>
            </w:r>
          </w:p>
        </w:tc>
      </w:tr>
      <w:tr w:rsidR="00CF1524" w:rsidRPr="00CF1524" w:rsidTr="00CF1524">
        <w:trPr>
          <w:trHeight w:val="654"/>
        </w:trPr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Ревакцинация против кори, краснухи, эпидемического паротита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Приорикс</w:t>
              </w:r>
              <w:proofErr w:type="spellEnd"/>
            </w:hyperlink>
          </w:p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1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Коревая </w:t>
              </w:r>
            </w:hyperlink>
          </w:p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2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Краснуха</w:t>
              </w:r>
            </w:hyperlink>
          </w:p>
        </w:tc>
      </w:tr>
      <w:tr w:rsidR="00CF1524" w:rsidRPr="00CF1524" w:rsidTr="00CF1524">
        <w:trPr>
          <w:trHeight w:val="443"/>
        </w:trPr>
        <w:tc>
          <w:tcPr>
            <w:tcW w:w="1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6-7 лет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t> </w:t>
            </w:r>
            <w:r w:rsidRPr="00CF152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ревакцинация против дифтерии, столбняка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3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АДС-М</w:t>
              </w:r>
            </w:hyperlink>
          </w:p>
        </w:tc>
      </w:tr>
      <w:tr w:rsidR="00CF1524" w:rsidRPr="00CF1524" w:rsidTr="00CF15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Ревакцинация против туберкулеза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БЦЖ-М</w:t>
            </w:r>
            <w:r w:rsidRPr="00CF152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1524" w:rsidRPr="00CF1524" w:rsidTr="00CF1524">
        <w:trPr>
          <w:trHeight w:val="480"/>
        </w:trPr>
        <w:tc>
          <w:tcPr>
            <w:tcW w:w="1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лет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 ревакцинация против дифтерии, столбняка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hyperlink r:id="rId44" w:history="1">
              <w:r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АДС-М</w:t>
              </w:r>
            </w:hyperlink>
          </w:p>
        </w:tc>
      </w:tr>
      <w:tr w:rsidR="00CF1524" w:rsidRPr="00CF1524" w:rsidTr="00CF152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 ревакцинация против полиомиелита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Полиорикс</w:t>
              </w:r>
              <w:proofErr w:type="spellEnd"/>
            </w:hyperlink>
          </w:p>
        </w:tc>
      </w:tr>
      <w:tr w:rsidR="00CF1524" w:rsidRPr="00CF1524" w:rsidTr="00CF152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Взрослые от 18 лет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Ревакцинация против дифтерии, столбняка — каждые 10 лет от момента последней ревакцинации</w:t>
            </w:r>
            <w:r w:rsidRPr="00CF1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6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  <w:hyperlink r:id="rId47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АДС-М</w:t>
              </w:r>
            </w:hyperlink>
          </w:p>
        </w:tc>
      </w:tr>
      <w:tr w:rsidR="00CF1524" w:rsidRPr="00CF1524" w:rsidTr="00CF1524">
        <w:trPr>
          <w:trHeight w:val="819"/>
        </w:trPr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от 1 года до 18 лет, взрослые от 18 до 55 лет, не привитые ранее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Вакцинация против вирусного гепатита В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Энджерикс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В 0,5</w:t>
              </w:r>
            </w:hyperlink>
          </w:p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Энджерикс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В</w:t>
              </w:r>
            </w:hyperlink>
            <w:hyperlink r:id="rId50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hyperlink r:id="rId51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1,0</w:t>
              </w:r>
            </w:hyperlink>
          </w:p>
        </w:tc>
      </w:tr>
      <w:tr w:rsidR="00CF1524" w:rsidRPr="00CF1524" w:rsidTr="00CF152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Дети от 1 года до 18 лет (включительно), женщины от 18 до 25 лет (включительно), не болевшие, не привитые, привитые однократно против краснухи, не имеющие сведений </w:t>
            </w: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 прививках против краснухи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Вакцинация против краснухи, ревакцинация против краснухи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2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Краснуха</w:t>
              </w:r>
            </w:hyperlink>
          </w:p>
        </w:tc>
      </w:tr>
      <w:tr w:rsidR="00CF1524" w:rsidRPr="00CF1524" w:rsidTr="00CF1524">
        <w:trPr>
          <w:trHeight w:val="720"/>
        </w:trPr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bookmarkStart w:id="0" w:name="l9"/>
            <w:bookmarkEnd w:id="0"/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Дети от 1 года до 18 лет (включительно) и взрослые до 35 лет (включительно), не болевшие, не привитые, привитые однократно, не имеющие сведений о прививках против кори; взрослые от 36 до 55 лет (включительно), относящиеся к группам риска (работники медицинских и образовательных организаций, организаций торговли, транспорта, коммунальной и социальной сферы; лица, работающие вахтовым методом, и сотрудники государственных контрольных органов в пунктах пропуска через государственную границу Российской </w:t>
            </w:r>
            <w:bookmarkStart w:id="1" w:name="l10"/>
            <w:bookmarkEnd w:id="1"/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Федерации), не болевшие, не привитые, привитые однократно, не имеющие сведений о прививках против кори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Вакцинация против кори, ревакцинация против кори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3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Коревая </w:t>
              </w:r>
            </w:hyperlink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CF1524" w:rsidRPr="00CF1524" w:rsidTr="00CF1524">
        <w:trPr>
          <w:trHeight w:val="720"/>
        </w:trPr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с 6 месяцев; учащиеся 1-11 классов; обучающиеся в профессиональных образовательных организациях и образовательных организациях высшего образования; взрослые работающие по отдельным профессиям и должностям (работники медицинских и образовательных организаций, транспорта, коммунальной сферы); беременные женщины; взрослые старше 60 лет; лица, подлежащие призыву на военную службу; лица с хроническими заболеваниями, в том числе с заболеваниями лёгких, сердечно-сосудистыми заболеваниями, метаболическими нарушениями и ожирением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Вакцинация против гриппа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Ваксигрипп</w:t>
              </w:r>
              <w:proofErr w:type="spellEnd"/>
            </w:hyperlink>
          </w:p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Инфлювак</w:t>
              </w:r>
              <w:proofErr w:type="spellEnd"/>
            </w:hyperlink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CF1524" w:rsidRPr="00CF1524" w:rsidTr="00CF15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Дети и взрослые по </w:t>
            </w:r>
            <w:proofErr w:type="spellStart"/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эпид.показаниям</w:t>
            </w:r>
            <w:proofErr w:type="spellEnd"/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Пневмококковая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Пневмо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23</w:t>
              </w:r>
            </w:hyperlink>
          </w:p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Превенар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 13</w:t>
              </w:r>
            </w:hyperlink>
          </w:p>
        </w:tc>
      </w:tr>
      <w:tr w:rsidR="00CF1524" w:rsidRPr="00CF1524" w:rsidTr="00CF15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и взрослые по </w:t>
            </w:r>
            <w:proofErr w:type="spellStart"/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эпид.показаниям</w:t>
            </w:r>
            <w:proofErr w:type="spellEnd"/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Менингококковая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Менинго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А+С</w:t>
              </w:r>
            </w:hyperlink>
            <w:r w:rsidR="00CF1524" w:rsidRPr="00CF152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hyperlink r:id="rId59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Менцевакс</w:t>
              </w:r>
              <w:proofErr w:type="spellEnd"/>
            </w:hyperlink>
            <w:hyperlink r:id="rId60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hyperlink r:id="rId61" w:history="1"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ACWY</w:t>
              </w:r>
            </w:hyperlink>
          </w:p>
        </w:tc>
      </w:tr>
      <w:tr w:rsidR="00CF1524" w:rsidRPr="00CF1524" w:rsidTr="00CF15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и взрослые по </w:t>
            </w:r>
            <w:proofErr w:type="spellStart"/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эпид.показаниям</w:t>
            </w:r>
            <w:proofErr w:type="spellEnd"/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240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Гепатитная A</w:t>
            </w:r>
          </w:p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Хаврикс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720</w:t>
              </w:r>
            </w:hyperlink>
          </w:p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Хаврикс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1440</w:t>
              </w:r>
            </w:hyperlink>
          </w:p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Аваксим</w:t>
              </w:r>
              <w:proofErr w:type="spellEnd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 xml:space="preserve"> 80</w:t>
              </w:r>
            </w:hyperlink>
          </w:p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Аваксим</w:t>
              </w:r>
              <w:proofErr w:type="spellEnd"/>
            </w:hyperlink>
            <w:r w:rsidR="00CF1524" w:rsidRPr="00CF1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1524" w:rsidRPr="00CF1524" w:rsidTr="00CF15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и взрослые по </w:t>
            </w:r>
            <w:proofErr w:type="spellStart"/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эпид.показаниям</w:t>
            </w:r>
            <w:proofErr w:type="spellEnd"/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CF1524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F1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Брюшнотифозная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524" w:rsidRPr="00CF1524" w:rsidRDefault="004A6EA0" w:rsidP="00CF15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="00CF1524" w:rsidRPr="00CF1524">
                <w:rPr>
                  <w:rFonts w:ascii="Times New Roman" w:eastAsia="Times New Roman" w:hAnsi="Times New Roman" w:cs="Times New Roman"/>
                  <w:color w:val="924E32"/>
                  <w:sz w:val="20"/>
                  <w:szCs w:val="20"/>
                  <w:u w:val="single"/>
                  <w:lang w:eastAsia="ru-RU"/>
                </w:rPr>
                <w:t>Вианвак</w:t>
              </w:r>
              <w:proofErr w:type="spellEnd"/>
            </w:hyperlink>
          </w:p>
        </w:tc>
      </w:tr>
    </w:tbl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ind w:left="108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1524">
        <w:rPr>
          <w:rFonts w:ascii="Times New Roman" w:eastAsia="Times New Roman" w:hAnsi="Times New Roman" w:cs="Times New Roman"/>
          <w:b/>
          <w:bCs/>
          <w:color w:val="666666"/>
          <w:sz w:val="19"/>
          <w:szCs w:val="19"/>
          <w:lang w:eastAsia="ru-RU"/>
        </w:rPr>
        <w:t>Примечания:</w:t>
      </w:r>
      <w:r w:rsidRPr="00CF1524">
        <w:rPr>
          <w:rFonts w:ascii="Symbol" w:eastAsia="Times New Roman" w:hAnsi="Symbol" w:cs="Times New Roman"/>
          <w:color w:val="666666"/>
          <w:sz w:val="19"/>
          <w:szCs w:val="19"/>
          <w:lang w:eastAsia="ru-RU"/>
        </w:rPr>
        <w:t>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1.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Первая, вторая и третья вакцинация проводятся по схеме 0-1-6 (1 доза — в момент начала вакцинации, 2 доза — через месяц после 1 прививки, 3 доза — через 6 месяцев от начала вакцинации), за исключением детей, относящихся к группам риска, вакцинация против вирусного гепатита В которых проводится по схеме 0-1-2-12 (1 доза — в момент начала вакцинации, 2 доза — через месяц после 1 прививки, 3 доза — через 2 месяца от начала вакцинации, 4 доза — через 12 месяцев от начала вакцинации).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2.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Вакцинация проводится вакциной для профилактики туберкулёза для щадящей первичной вакцинации (БЦЖ-М); в субъектах Российской Федерации с показателями заболеваемости, превышающими 80 на 100 тыс. населения, а также при наличии в окружении новорождённого больных туберкулёзом — вакциной для профилактики туберкулёза (БЦЖ).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3.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Вакцинация проводится детям, относящимся к группам риска (родившимся от матерей носителей </w:t>
      </w:r>
      <w:proofErr w:type="spellStart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HBsAg</w:t>
      </w:r>
      <w:proofErr w:type="spellEnd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больных вирусным гепатитом В или перенёсших вирусный гепатит в третьем триместре беременности, не имеющих результатов обследования на маркёры гепатита В, потребляющих наркотические средства или психотропные вещества, из семей, в которых есть носитель </w:t>
      </w:r>
      <w:proofErr w:type="spellStart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HBsAg</w:t>
      </w:r>
      <w:proofErr w:type="spellEnd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или больной вирусным гепатитом В и хроническими вирусными гепатитами).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4.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Первая и вторая вакцинация проводятся вакциной для профилактики полиомиелита (инактивированной).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5.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Вакцинация проводится детям, относящимся к группам риска (с </w:t>
      </w:r>
      <w:proofErr w:type="spellStart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иммунодефицитными</w:t>
      </w:r>
      <w:proofErr w:type="spellEnd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состояниями или анатомическими дефектами, приводящими к резко повышенной опасности заболевания гемофильной инфекцией; с </w:t>
      </w:r>
      <w:proofErr w:type="spellStart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онкогематологическими</w:t>
      </w:r>
      <w:proofErr w:type="spellEnd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заболеваниями и/или длительно получающие </w:t>
      </w:r>
      <w:proofErr w:type="spellStart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иммуносупрессивную</w:t>
      </w:r>
      <w:proofErr w:type="spellEnd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терапию; детям, рождённым от матерей с ВИЧ-инфекцией; детям с ВИЧ-инфекцией; детям, находящимся в домах ребёнка).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6.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Третья вакцинация и последующие ревакцинации против полиомиелита проводятся детям живой вакциной для профилактики полиомиелита; детям, рождённым от матерей с ВИЧ-инфекцией, детям с ВИЧ-инфекцией, находящимся в домах ребёнка — инактивированной вакциной для профилактики полиомиелита.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7.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Вторая ревакцинация проводится анатоксинами с уменьшенным содержанием антигенов.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8.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Ревакцинация проводится вакциной для профилактики туберкулёза (БЦЖ).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9.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Вакцинация проводится детям и взрослым, ранее не привитым против вирусного гепатита В, по схеме 0-1-6 (1 доза — в момент начала вакцинации, 2 доза — через 1 месяц после 1 прививки, 3 доза — через 6 месяцев от начала вакцинации).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10.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Интервал между первой и второй прививками должен составлять не менее 3 месяцев.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 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Порядок проведения гражданам профилактических прививок в рамках национального календаря профилактических прививок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1.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Профилактические прививки в рамках национального календаря профилактических прививок проводятся гражданам в медицинских организациях при наличии у таких организаций лицензии, предусматривающей выполнение работ (услуг) по вакцинации (проведению профилактических прививок).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2.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Вакцинацию осуществляют медицинские работники, прошедшие обучение по вопросам применения иммунобиологических лекарственных препаратов для иммунопрофилактики инфекционных болезней, правилам организации и техники проведения вакцинации, а также по вопросам оказания медицинской помощи в экстренной или неотложной форме.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3.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Вакцинация и ревакцинация в рамках национального календаря профилактических прививок проводится иммунобиологическими лекарственными препаратами для иммунопрофилактики инфекционных болезней, зарегистрированными в соответствии с законодательством Российской Федерации, согласно инструкциям по их применению.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4.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Перед проведением профилактической прививки лицу, подлежащему вакцинации, или его законному представителю (опекунам) разъясняется необходимость иммунопрофилактики инфекционных болезней, возможные поствакцинальные реакции и осложнения, а также последствия отказа от иммунопрофилактики и оформляется информированное добровольное согласие на медицинское вмешательство в соответствии с требованиями статьи 20 Федерального закона от 21 ноября 2011 г. №         323-ФЗ „Об основах охраны здоровья граждан в Российской Федерации“.</w:t>
      </w:r>
      <w:r w:rsidRPr="00CF1524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11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11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Собрание законодательства Российской Федерации, 2012, №         26, ст. 3442; №         26, ст. 3446; 2013, №         27, ст. 3459; №         27, ст. 3477; №         30, ст. 4038; №         48, ст. 6165; №         52, ст. 6951.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5.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Все лица, которым должны проводиться профилактические прививки предварительно подвергаются осмотру врачом (фельдшером).</w:t>
      </w:r>
      <w:r w:rsidRPr="00CF1524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12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12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Приказ Министерства здравоохранения и социального развития Российской Федерации от 23 марта 2012 г. №         252н „Об утверждении Порядка возложения на фельдшера, акушерку руководителем медицинской организации при организации оказания первичной медико-санитарной помощи и скорой медицинской помощи отдельных функций лечащего врача по непосредственному оказанию медицинской помощи пациенту в период наблюдения за ним и его лечения, в том числе по назначению и применению лекарственных препаратов, включая наркотические лекарственные препараты и психотропные лекарственные препараты“ (зарегистрирован Министерством юстиции Российской Федерации 28 апреля 2012 г., регистрационный номер №         23971).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6.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При изменении сроков вакцинации её проводят по предусмотренным национальным календарём профилактических прививок схемам и в соответствии с инструкциями по применению иммунобиологических лекарственных препаратов для иммунопрофилактики инфекционных болезней. Допускается введение вакцин (кроме вакцин для профилактики туберкулёза), применяемых в рамках национального календаря профилактических прививок, в один день разными шприцами в разные участки тела.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7.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Вакцинация детей, которым иммунопрофилактика против пневмококковой инфекции не была начата в первые 6 месяцев жизни, проводится двукратно с интервалом между прививками не менее 2 месяцев.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8.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Вакцинация детей, рождённых от матерей с ВИЧ-инфекцией, осуществляется в рамках национального календаря профилактических прививок в соответствии с инструкциями по применению иммунобиологических лекарственных препаратов для иммунопрофилактики инфекционных болезней. При вакцинации таких детей учитываются: ВИЧ-статус ребёнка, вид вакцины, показатели иммунного статуса, возраст ребёнка, сопутствующие заболевания.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9.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Ревакцинация детей против туберкулёза, рождённых от матерей с ВИЧ-инфекцией и получавших трёхэтапную </w:t>
      </w:r>
      <w:proofErr w:type="spellStart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химиопрофилактику</w:t>
      </w:r>
      <w:proofErr w:type="spellEnd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передачи ВИЧ от матери ребёнку (во время беременности, родов и в период новорождённости), проводится в родильном доме вакцинами для профилактики туберкулёза (для щадящей 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первичной вакцинации). У детей с ВИЧ-инфекцией, а также при обнаружении нуклеиновых кислот ВИЧ молекулярными методами ревакцинация против туберкулёза не проводится.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10.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Вакцинация живыми вакцинами в рамках национального календаря профилактических прививок (за исключением вакцин для профилактики туберкулёза) проводится детям с ВИЧ-инфекцией с 1-й и 2-й иммунными категориями (отсутствие иммунодефицита или умеренный иммунодефицит).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11.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При исключении диагноза ВИЧ-инфекции детям, рождённым от матерей с ВИЧ-инфекцией, проводят вакцинацию живыми вакцинами без предварительного иммунологического обследования.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12.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Анатоксины, убитые и рекомбинантные вакцины в рамках национального календаря профилактических прививок вводят всем детям, рождённым от матерей с ВИЧ-инфекцией. Детям с ВИЧ-инфекцией указанные иммунобиологические лекарственные препараты вводятся при отсутствии выраженного и тяжёлого иммунодефицита.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13.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При проведении вакцинации детей против пневмококковой инфекции, а также детей и взрослых против гепатита В используются вакцины, содержащие актуальные подтипы поверхностных антигенов, серотипы с максимально возможным покрытием инфекционных возбудителей.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14.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При проведении вакцинации против гепатита В детей первого года жизни, против гриппа детей с 6-месячного возраста, обучающихся в образовательных организациях, беременных женщин используются вакцины, не содержащие консервантов.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Приказ Минздрава России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№         125н от 21.03.2014 г.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bookmarkStart w:id="2" w:name="2"/>
      <w:r w:rsidRPr="00CF1524">
        <w:rPr>
          <w:rFonts w:ascii="Tahoma" w:eastAsia="Times New Roman" w:hAnsi="Tahoma" w:cs="Tahoma"/>
          <w:color w:val="924E32"/>
          <w:sz w:val="18"/>
          <w:szCs w:val="18"/>
          <w:u w:val="single"/>
          <w:lang w:eastAsia="ru-RU"/>
        </w:rPr>
        <w:t>ПРИЛОЖЕНИЕ 2</w:t>
      </w:r>
      <w:bookmarkEnd w:id="2"/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CF1524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Календарь профилактических прививок по эпидемическим показаниям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4"/>
        <w:gridCol w:w="7435"/>
      </w:tblGrid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24" w:rsidRPr="00CF1524" w:rsidRDefault="00CF1524" w:rsidP="00CF152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прививки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24" w:rsidRPr="00CF1524" w:rsidRDefault="00CF1524" w:rsidP="00CF152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Категории граждан, подлежащих профилактическим прививкам по эпидемическим показаниям, и порядок их проведения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туляремии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проживающее на энзоотичных по туляремии территориях, а также прибывшие на эти территории лица, выполняющие следующие работы: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— сельскохозяйственные, гидромелиоративные, строительные, другие работы по выемке и 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дератизационные</w:t>
            </w:r>
            <w:proofErr w:type="spell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и дезинсекционные;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по лесозаготовке, расчистке и благоустройству леса, зон оздоровления и отдыха населения.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* Лица, работающие с живыми культурами возбудителя туляремии.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чумы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проживающее на энзоотичных по чуме территориях.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работающие с живыми культурами возбудителя чумы.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бруцеллёза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В очагах козье-овечьего типа бруцеллёза лица, выполняющие следующие </w:t>
            </w:r>
            <w:proofErr w:type="gram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работы: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</w:t>
            </w:r>
            <w:proofErr w:type="gram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по заготовке, хранению, обработке сырья и продуктов животноводства, полученных из хозяйств, где регистрируются заболевания скота бруцеллёзом;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по убою скота, больного бруцеллёзом, заготовке и переработке полученных от него мяса и мясопродуктов.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Животноводы, ветеринарные работники, зоотехники в хозяйствах энзоотичных по бруцеллёзу.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работающие с живыми культурами возбудителя бруцеллёза.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сибирской язвы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выполняющие следующие работы: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— </w:t>
            </w:r>
            <w:proofErr w:type="spell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зооветработники</w:t>
            </w:r>
            <w:proofErr w:type="spell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и другие лица, профессионально занятые </w:t>
            </w:r>
            <w:proofErr w:type="spell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предубойным</w:t>
            </w:r>
            <w:proofErr w:type="spell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содержанием скота, а также убоем, снятием шкур и разделкой туш;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сбор, хранение, транспортировка и первичная обработка сырья животного происхождения;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сельскохозяйственные, гидромелиоративные, строительные, по выемке и перемещению грунта, заготовительные, промысловые, геологические, изыскательские, экспедиционные на энзоотичных по сибирской язве территориях.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работающие с материалом, подозрительным на инфицирование возбудителем сибирской язвы.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бешенства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С профилактической целью вакцинируют лиц, имеющих высокий риск заражения </w:t>
            </w:r>
            <w:proofErr w:type="gram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бешенством: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lastRenderedPageBreak/>
              <w:t>—</w:t>
            </w:r>
            <w:proofErr w:type="gram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лица, работающее с „уличным“ вирусом бешенства;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ветеринарные работники; егеря, охотники, лесники; лица, выполняющие работы по отлову и содержанию животных.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lastRenderedPageBreak/>
              <w:t>Против лептоспироза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Лица, выполняющие следующие </w:t>
            </w:r>
            <w:proofErr w:type="gram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работы: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</w:t>
            </w:r>
            <w:proofErr w:type="gram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по заготовке, хранению, обработке сырья и продуктов животноводства, полученных из хозяйств, расположенных на энзоотичных по лептоспирозу территориях;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по убою скота, больного лептоспирозом, заготовке и переработке мяса и мясопродуктов, полученных от больных лептоспирозом животных;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по отлову и содержанию безнадзорных животных.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работающие с живыми культурами возбудителя лептоспироза.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клещевого вирусного энцефалита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проживающее на эндемичных по клещевому вирусному энцефалиту территориях, а также прибывшие на эти территории лица, выполняющие следующие работы: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— сельскохозяйственные, гидромелиоративные, строительные, по выемке и 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дератизационные</w:t>
            </w:r>
            <w:proofErr w:type="spell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и дезинсекционные;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по лесозаготовке, расчистке и благоустройству леса, зон оздоровления и отдыха населения.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работающие с живыми культурами возбудителя клещевого энцефалита.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лихорадки 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выполняющие работы по заготовке, хранению, обработке сырья и продуктов животноводства, полученных из хозяйств, где регистрируются заболевания лихорадкой Ку </w:t>
            </w:r>
            <w:proofErr w:type="gram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скота;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</w:t>
            </w:r>
            <w:proofErr w:type="gram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, выполняющие работы по заготовке, хранению и переработке сельскохозяйственной продукции на энзоотичных территориях по лихорадке Ку.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работающие с живыми культурами возбудителей лихорадки Ку.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жёлтой лихорадки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выезжающие за пределы Российской Федерации в энзоотичные по жёлтой лихорадке страны (регионы</w:t>
            </w:r>
            <w:proofErr w:type="gram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).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</w:t>
            </w:r>
            <w:proofErr w:type="gram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, работающие с живыми культурами возбудителя жёлтой лихорадки.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холеры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выезжающие в неблагополучные по холере страны (регионы</w:t>
            </w:r>
            <w:proofErr w:type="gram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).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Население</w:t>
            </w:r>
            <w:proofErr w:type="gram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субъектов Российской Федерации в случае осложнения санитарно-эпидемиологической обстановки по холере в сопредельных странах, а также на территории Российской Федерации.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брюшного тифа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занятые в сфере коммунального благоустройства (работники, обслуживающие канализационные сети, сооружения и оборудование а также организаций, осуществляющих санитарную очистку населённых мест, сбор, транспортировку и утилизацию бытовых отходов.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 работающие с живыми культурами возбудителей брюшного тифа.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Население, проживающее на территориях с хроническими водными эпидемиями брюшного тифа.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выезжающие в </w:t>
            </w:r>
            <w:proofErr w:type="spell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гиперэндемичные</w:t>
            </w:r>
            <w:proofErr w:type="spell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по брюшному тифу страны (регионы).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Контактные лица в очагах брюшного тифа по эпидемиологическим показаниям.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По эпидемическим показаниям прививки проводят при угрозе возникновения эпидемии или вспышки (стихийные бедствия, крупные аварии на водопроводной и канализационной сети), а также в период эпидемии, при этом в угрожаемом районе проводят массовую вакцинацию населения.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вирусного гепатита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проживающие в регионах, неблагополучных по заболеваемости гепатитом А, а также лица, подверженные профессиональному риску заражения (медицинские работники, работники сферы обслуживания населения, занятые на предприятиях пищевой промышленности, а также обслуживающие водопроводные и канализационные сооружения, оборудование и сети</w:t>
            </w:r>
            <w:proofErr w:type="gram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).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</w:t>
            </w:r>
            <w:proofErr w:type="gram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, выезжающие в неблагополучные страны (регионы), где регистрируется вспышечная заболеваемость гепатитом А.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Контактные в очагах гепатита А.</w:t>
            </w:r>
          </w:p>
        </w:tc>
        <w:bookmarkStart w:id="3" w:name="_GoBack"/>
        <w:bookmarkEnd w:id="3"/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Против </w:t>
            </w:r>
            <w:proofErr w:type="spell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шигеллёзов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Работники медицинских организаций (их структурных подразделений) инфекционного профиля.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занятые в сфере общественного питания и коммунального благоустройства.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Дети, посещающие дошкольные образовательные учреждения и отъезжающие в организации, осуществляющие лечение, оздоровление и (или) отдых (по показаниям).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По эпидемическим показаниям прививки проводя при угрозе возникновения эпидемии или вспышки (стихийные бедствия, крупные аварии на водопроводной и канализационной сети), а также в период эпидемии, при этом в угрожаемом районе проводят массовую вакцинацию населения.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Профилактические прививки предпочтительно проводить перед сезонным подъёмом заболеваемости </w:t>
            </w:r>
            <w:proofErr w:type="spell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шигеллёзами</w:t>
            </w:r>
            <w:proofErr w:type="spell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lastRenderedPageBreak/>
              <w:t>Против менингококковой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Дети и взрослые в очагах менингококковой инфекции, вызванной менингококками </w:t>
            </w:r>
            <w:proofErr w:type="spell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серогрупп</w:t>
            </w:r>
            <w:proofErr w:type="spell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А или С.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Вакцинация проводится в эндемичных регионах, а также в случае эпидемии, вызванной менингококками </w:t>
            </w:r>
            <w:proofErr w:type="spell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серогрупп</w:t>
            </w:r>
            <w:proofErr w:type="spell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А или С.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подлежащие призыву на военную службу.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кори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Контактные лица без ограничения возраста из очагов заболевания, ранее не болевшие, не привитые и не имеющие сведений о профилактических прививках против кори, или однократно привитые.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гепатита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Контактные лица из очагов заболевания, не болевшие, не привитые и не имеющие сведений о профилактических прививках против гепатита В.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дифтерии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Контактные лица из очагов заболевания, не болевшие, не привитые и не имеющие сведений о профилактических прививках против дифтерии.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эпидемического паротита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Контактные лица из очагов заболевания, не болевшие, не привитые и не имеющие сведений о профилактических прививках против эпидемического паротита.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полиомиелита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Контактные лица в очагах полиомиелита, в том числе вызванного диким </w:t>
            </w:r>
            <w:proofErr w:type="spell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полиовирусом</w:t>
            </w:r>
            <w:proofErr w:type="spell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(или при подозрении на заболевание):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дети с 3 месяцев до 18 лет — однократно;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медицинские работники — однократно;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— дети, прибывшие из эндемичных (неблагополучных) по полиомиелиту стран (регионов), с 3 месяцев до 15 лет — однократно (при наличии достоверных данных о предшествующих прививках) или трёхкратно (при их отсутствии); 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лица без определённого места жительства (при их выявлении) с 3 месяцев до 15 лет — однократно (при наличии достоверных данных о предшествующих прививках) или трёхкратно (при их отсутствии);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лица, контактировавшие с прибывшими из эндемичных (неблагополучных) по полиомиелиту стран (регионов), с 3 месяцев жизни без ограничения возраста — однократно;</w:t>
            </w: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— лица, работающие с живым </w:t>
            </w:r>
            <w:proofErr w:type="spell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полиовирусом</w:t>
            </w:r>
            <w:proofErr w:type="spell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, с материалами, инфицированными (потенциально инфицированными) диким вирусом полиомиелита без ограничения возраста, — однократно при приёме на работу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пневмококковой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Дети в возрасте от 2 до 5 лет, взрослые из групп риска, включая лиц, подлежащих призыву на военную службу.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Против </w:t>
            </w:r>
            <w:proofErr w:type="spell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ротавирусной</w:t>
            </w:r>
            <w:proofErr w:type="spell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Дети для активной вакцинации с целью профилактики заболеваний, вызываемых </w:t>
            </w:r>
            <w:proofErr w:type="spellStart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ротавирусами</w:t>
            </w:r>
            <w:proofErr w:type="spellEnd"/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ветряной оспы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Дети и взрослых из групп риска, включая лиц, подлежащих призыву на военную службу, ранее не привитые и не болевшие ветряной оспой.</w:t>
            </w:r>
          </w:p>
        </w:tc>
      </w:tr>
      <w:tr w:rsidR="00CF1524" w:rsidRPr="00CF1524" w:rsidTr="00CF15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гемофильной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24" w:rsidRPr="00CF1524" w:rsidRDefault="00CF1524" w:rsidP="00CF1524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CF1524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Дети, не привитые на первом году жизни против гемофильной инфекции</w:t>
            </w:r>
          </w:p>
        </w:tc>
      </w:tr>
    </w:tbl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Порядок проведения гражданам профилактических прививок в рамках календаря профилактических прививок по эпидемическим показаниям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1.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Профилактические прививки в рамках календаря профилактических прививок по эпидемическим показаниям проводятся гражданам в медицинских организациях при наличии у таких организаций лицензии, предусматривающей выполнение работ (услуг) по вакцинации (проведению профилактических прививок).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2.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Вакцинацию осуществляют медицинские работники, прошедшие обучение по вопросам применения иммунобиологических лекарственных препаратов для иммунопрофилактики инфекционных болезней, правилам организации и техники проведения вакцинации, а также по вопросам оказания медицинской помощи в экстренной или неотложной форме.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3.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Вакцинация и ревакцинация в рамках календаря профилактических прививок по эпидемическим показаниям проводится иммунобиологическими лекарственными препаратами для иммунопрофилактики инфекционных болезней, зарегистрированными в соответствии с законодательством Российской Федерации, согласно инструкциям по их применению.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lastRenderedPageBreak/>
        <w:t>4.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Перед проведением профилактической прививки лицу, подлежащему вакцинации, или его законному представителю (опекунам) разъясняется необходимость иммунопрофилактики инфекционных болезней, возможные поствакцинальные реакции и осложнения, а также последствия отказа от иммунопрофилактики и оформляется информированное добровольное согласие на медицинское вмешательство в соответствии с требованиями статьи 20 Федерального закона от 21 ноября 2011 г. №         323-ФЗ „Об основах охраны здоровья граждан в Российской Федерации“.</w:t>
      </w:r>
      <w:r w:rsidRPr="00CF1524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11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11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Собрание законодательства Российской Федерации, 2012, №         26, ст. 3442; №         26, ст. 3446; 2013, №         27, ст. 3459; №         27, ст. 3477; №         30, ст. 4038; №         48, ст. 6165; №         52, ст. 6951.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5.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Все лица, которым должны проводиться профилактические прививки предварительно подвергаются осмотру врачом (фельдшером).</w:t>
      </w:r>
      <w:r w:rsidRPr="00CF1524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12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12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Приказ Министерства здравоохранения и социального развития Российской Федерации от 23 марта 2012 г. №         252н „Об утверждении Порядка возложения на фельдшера, акушерку руководителем медицинской организации при организации оказания первичной медико-санитарной помощи и скорой медицинской помощи отдельных функций лечащего врача по непосредственному оказанию медицинской помощи пациенту в период наблюдения за ним и его лечения, в том числе по назначению и применению лекарственных препаратов, включая наркотические лекарственные препараты и психотропные лекарственные препараты“ (зарегистрирован Министерством юстиции Российской Федерации 28 апреля 2012 г., регистрационный номер №         23971).</w:t>
      </w:r>
    </w:p>
    <w:p w:rsidR="00CF1524" w:rsidRPr="00CF1524" w:rsidRDefault="00CF1524" w:rsidP="00CF1524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F152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6.</w:t>
      </w:r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Допускается введение вакцин в один день разными шприцами в разные участки тела. Интервал между прививками против разных инфекций при раздельном их проведении (не в один день) должен составлять не менее 1 месяца.</w:t>
      </w:r>
    </w:p>
    <w:p w:rsidR="000A0FDF" w:rsidRDefault="00CF1524" w:rsidP="00CF1524"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 Вакцинация против полиомиелита по эпидемическим показаниям проводится оральной полиомиелитной вакциной. Показаниями для проведения вакцинации детей оральной полиомиелитной вакциной по эпидемическим показаниям являются регистрация случая полиомиелита, вызванного диким </w:t>
      </w:r>
      <w:proofErr w:type="spellStart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полиовирусом</w:t>
      </w:r>
      <w:proofErr w:type="spellEnd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выделение дикого </w:t>
      </w:r>
      <w:proofErr w:type="spellStart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полиовируса</w:t>
      </w:r>
      <w:proofErr w:type="spellEnd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 </w:t>
      </w:r>
      <w:proofErr w:type="spellStart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биопробах</w:t>
      </w:r>
      <w:proofErr w:type="spellEnd"/>
      <w:r w:rsidRPr="00CF152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человека или из объектов окружающей среды. В этих случаях вакцинация проводится в соответствии с 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 кратность её проведения.</w:t>
      </w:r>
    </w:p>
    <w:sectPr w:rsidR="000A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F4"/>
    <w:rsid w:val="000A0FDF"/>
    <w:rsid w:val="004A6EA0"/>
    <w:rsid w:val="00893CF4"/>
    <w:rsid w:val="00CF1524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6150E-A39F-4755-AE6D-97CB5642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ivivka.spb.ru/vaccination/96/" TargetMode="External"/><Relationship Id="rId18" Type="http://schemas.openxmlformats.org/officeDocument/2006/relationships/hyperlink" Target="http://privivka.spb.ru/vaccination/78/" TargetMode="External"/><Relationship Id="rId26" Type="http://schemas.openxmlformats.org/officeDocument/2006/relationships/hyperlink" Target="http://privivka.spb.ru/vaccination/113/" TargetMode="External"/><Relationship Id="rId39" Type="http://schemas.openxmlformats.org/officeDocument/2006/relationships/hyperlink" Target="http://privivka.spb.ru/vaccination/93/" TargetMode="External"/><Relationship Id="rId21" Type="http://schemas.openxmlformats.org/officeDocument/2006/relationships/hyperlink" Target="http://privivka.spb.ru/vaccination/110/" TargetMode="External"/><Relationship Id="rId34" Type="http://schemas.openxmlformats.org/officeDocument/2006/relationships/hyperlink" Target="http://privivka.spb.ru/vaccination/97/" TargetMode="External"/><Relationship Id="rId42" Type="http://schemas.openxmlformats.org/officeDocument/2006/relationships/hyperlink" Target="http://privivka.spb.ru/vaccination/97/" TargetMode="External"/><Relationship Id="rId47" Type="http://schemas.openxmlformats.org/officeDocument/2006/relationships/hyperlink" Target="http://privivka.spb.ru/vaccination/106/" TargetMode="External"/><Relationship Id="rId50" Type="http://schemas.openxmlformats.org/officeDocument/2006/relationships/hyperlink" Target="http://privivka.spb.ru/vaccination/110/" TargetMode="External"/><Relationship Id="rId55" Type="http://schemas.openxmlformats.org/officeDocument/2006/relationships/hyperlink" Target="http://privivka.spb.ru/vaccination/84/" TargetMode="External"/><Relationship Id="rId63" Type="http://schemas.openxmlformats.org/officeDocument/2006/relationships/hyperlink" Target="http://privivka.spb.ru/vaccination/92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privivka.spb.ru/vaccination/8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ivivka.spb.ru/vaccination/96/" TargetMode="External"/><Relationship Id="rId29" Type="http://schemas.openxmlformats.org/officeDocument/2006/relationships/hyperlink" Target="http://privivka.spb.ru/vaccination/96/" TargetMode="External"/><Relationship Id="rId1" Type="http://schemas.openxmlformats.org/officeDocument/2006/relationships/styles" Target="styles.xml"/><Relationship Id="rId6" Type="http://schemas.openxmlformats.org/officeDocument/2006/relationships/hyperlink" Target="http://privivka.spb.ru/vaccination/110/" TargetMode="External"/><Relationship Id="rId11" Type="http://schemas.openxmlformats.org/officeDocument/2006/relationships/hyperlink" Target="http://privivka.spb.ru/vaccination/78/" TargetMode="External"/><Relationship Id="rId24" Type="http://schemas.openxmlformats.org/officeDocument/2006/relationships/hyperlink" Target="http://privivka.spb.ru/vaccination/82/" TargetMode="External"/><Relationship Id="rId32" Type="http://schemas.openxmlformats.org/officeDocument/2006/relationships/hyperlink" Target="http://privivka.spb.ru/vaccination/88/" TargetMode="External"/><Relationship Id="rId37" Type="http://schemas.openxmlformats.org/officeDocument/2006/relationships/hyperlink" Target="http://privivka.spb.ru/vaccination/96/" TargetMode="External"/><Relationship Id="rId40" Type="http://schemas.openxmlformats.org/officeDocument/2006/relationships/hyperlink" Target="http://privivka.spb.ru/vaccination/88/" TargetMode="External"/><Relationship Id="rId45" Type="http://schemas.openxmlformats.org/officeDocument/2006/relationships/hyperlink" Target="http://privivka.spb.ru/vaccination/82/" TargetMode="External"/><Relationship Id="rId53" Type="http://schemas.openxmlformats.org/officeDocument/2006/relationships/hyperlink" Target="http://privivka.spb.ru/vaccination/98/" TargetMode="External"/><Relationship Id="rId58" Type="http://schemas.openxmlformats.org/officeDocument/2006/relationships/hyperlink" Target="http://privivka.spb.ru/vaccination/85/" TargetMode="External"/><Relationship Id="rId66" Type="http://schemas.openxmlformats.org/officeDocument/2006/relationships/hyperlink" Target="http://privivka.spb.ru/vaccination/103/" TargetMode="External"/><Relationship Id="rId5" Type="http://schemas.openxmlformats.org/officeDocument/2006/relationships/hyperlink" Target="http://privivka.spb.ru/vaccination/110/" TargetMode="External"/><Relationship Id="rId15" Type="http://schemas.openxmlformats.org/officeDocument/2006/relationships/hyperlink" Target="http://privivka.spb.ru/vaccination/82/" TargetMode="External"/><Relationship Id="rId23" Type="http://schemas.openxmlformats.org/officeDocument/2006/relationships/hyperlink" Target="http://privivka.spb.ru/vaccination/83/" TargetMode="External"/><Relationship Id="rId28" Type="http://schemas.openxmlformats.org/officeDocument/2006/relationships/hyperlink" Target="http://privivka.spb.ru/vaccination/93/" TargetMode="External"/><Relationship Id="rId36" Type="http://schemas.openxmlformats.org/officeDocument/2006/relationships/hyperlink" Target="http://privivka.spb.ru/vaccination/82/" TargetMode="External"/><Relationship Id="rId49" Type="http://schemas.openxmlformats.org/officeDocument/2006/relationships/hyperlink" Target="http://privivka.spb.ru/vaccination/110/" TargetMode="External"/><Relationship Id="rId57" Type="http://schemas.openxmlformats.org/officeDocument/2006/relationships/hyperlink" Target="http://privivka.spb.ru/vaccination/89/" TargetMode="External"/><Relationship Id="rId61" Type="http://schemas.openxmlformats.org/officeDocument/2006/relationships/hyperlink" Target="http://privivka.spb.ru/vaccination/86/" TargetMode="External"/><Relationship Id="rId10" Type="http://schemas.openxmlformats.org/officeDocument/2006/relationships/hyperlink" Target="http://privivka.spb.ru/vaccination/96/" TargetMode="External"/><Relationship Id="rId19" Type="http://schemas.openxmlformats.org/officeDocument/2006/relationships/hyperlink" Target="http://privivka.spb.ru/vaccination/93/" TargetMode="External"/><Relationship Id="rId31" Type="http://schemas.openxmlformats.org/officeDocument/2006/relationships/hyperlink" Target="http://privivka.spb.ru/vaccination/110/" TargetMode="External"/><Relationship Id="rId44" Type="http://schemas.openxmlformats.org/officeDocument/2006/relationships/hyperlink" Target="http://privivka.spb.ru/vaccines/?vid=26" TargetMode="External"/><Relationship Id="rId52" Type="http://schemas.openxmlformats.org/officeDocument/2006/relationships/hyperlink" Target="http://privivka.spb.ru/vaccination/97/" TargetMode="External"/><Relationship Id="rId60" Type="http://schemas.openxmlformats.org/officeDocument/2006/relationships/hyperlink" Target="http://privivka.spb.ru/vaccination/86/" TargetMode="External"/><Relationship Id="rId65" Type="http://schemas.openxmlformats.org/officeDocument/2006/relationships/hyperlink" Target="http://privivka.spb.ru/vaccination/77/" TargetMode="External"/><Relationship Id="rId4" Type="http://schemas.openxmlformats.org/officeDocument/2006/relationships/hyperlink" Target="http://privivka.spb.ru/vaccination/110/" TargetMode="External"/><Relationship Id="rId9" Type="http://schemas.openxmlformats.org/officeDocument/2006/relationships/hyperlink" Target="http://privivka.spb.ru/vaccination/82/" TargetMode="External"/><Relationship Id="rId14" Type="http://schemas.openxmlformats.org/officeDocument/2006/relationships/hyperlink" Target="http://privivka.spb.ru/vaccination/83/" TargetMode="External"/><Relationship Id="rId22" Type="http://schemas.openxmlformats.org/officeDocument/2006/relationships/hyperlink" Target="http://privivka.spb.ru/vaccination/113/" TargetMode="External"/><Relationship Id="rId27" Type="http://schemas.openxmlformats.org/officeDocument/2006/relationships/hyperlink" Target="http://privivka.spb.ru/vaccination/78/" TargetMode="External"/><Relationship Id="rId30" Type="http://schemas.openxmlformats.org/officeDocument/2006/relationships/hyperlink" Target="http://privivka.spb.ru/vaccination/113/" TargetMode="External"/><Relationship Id="rId35" Type="http://schemas.openxmlformats.org/officeDocument/2006/relationships/hyperlink" Target="http://privivka.spb.ru/vaccination/83/" TargetMode="External"/><Relationship Id="rId43" Type="http://schemas.openxmlformats.org/officeDocument/2006/relationships/hyperlink" Target="http://privivka.spb.ru/vaccination/106/" TargetMode="External"/><Relationship Id="rId48" Type="http://schemas.openxmlformats.org/officeDocument/2006/relationships/hyperlink" Target="http://privivka.spb.ru/vaccination/110/" TargetMode="External"/><Relationship Id="rId56" Type="http://schemas.openxmlformats.org/officeDocument/2006/relationships/hyperlink" Target="http://privivka.spb.ru/vaccination/87/" TargetMode="External"/><Relationship Id="rId64" Type="http://schemas.openxmlformats.org/officeDocument/2006/relationships/hyperlink" Target="http://privivka.spb.ru/vaccination/77/" TargetMode="External"/><Relationship Id="rId8" Type="http://schemas.openxmlformats.org/officeDocument/2006/relationships/hyperlink" Target="http://privivka.spb.ru/vaccination/83/" TargetMode="External"/><Relationship Id="rId51" Type="http://schemas.openxmlformats.org/officeDocument/2006/relationships/hyperlink" Target="http://privivka.spb.ru/vaccination/11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ivivka.spb.ru/vaccination/93/" TargetMode="External"/><Relationship Id="rId17" Type="http://schemas.openxmlformats.org/officeDocument/2006/relationships/hyperlink" Target="http://privivka.spb.ru/vaccination/89/" TargetMode="External"/><Relationship Id="rId25" Type="http://schemas.openxmlformats.org/officeDocument/2006/relationships/hyperlink" Target="http://privivka.spb.ru/vaccination/96/" TargetMode="External"/><Relationship Id="rId33" Type="http://schemas.openxmlformats.org/officeDocument/2006/relationships/hyperlink" Target="http://privivka.spb.ru/vaccination/98/" TargetMode="External"/><Relationship Id="rId38" Type="http://schemas.openxmlformats.org/officeDocument/2006/relationships/hyperlink" Target="http://privivka.spb.ru/vaccination/78/" TargetMode="External"/><Relationship Id="rId46" Type="http://schemas.openxmlformats.org/officeDocument/2006/relationships/hyperlink" Target="http://privivka.spb.ru/vaccination/106/" TargetMode="External"/><Relationship Id="rId59" Type="http://schemas.openxmlformats.org/officeDocument/2006/relationships/hyperlink" Target="http://privivka.spb.ru/vaccination/86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privivka.spb.ru/vaccination/96/" TargetMode="External"/><Relationship Id="rId41" Type="http://schemas.openxmlformats.org/officeDocument/2006/relationships/hyperlink" Target="http://privivka.spb.ru/vaccination/98/" TargetMode="External"/><Relationship Id="rId54" Type="http://schemas.openxmlformats.org/officeDocument/2006/relationships/hyperlink" Target="http://privivka.spb.ru/vaccination/79/" TargetMode="External"/><Relationship Id="rId62" Type="http://schemas.openxmlformats.org/officeDocument/2006/relationships/hyperlink" Target="http://privivka.spb.ru/vaccination/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4184</Words>
  <Characters>23849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2017-03-09T13:14:00Z</dcterms:created>
  <dcterms:modified xsi:type="dcterms:W3CDTF">2017-03-22T08:50:00Z</dcterms:modified>
</cp:coreProperties>
</file>